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AE" w:rsidRPr="00787BF1" w:rsidRDefault="00567FAE" w:rsidP="00567FAE">
      <w:pPr>
        <w:pStyle w:val="Heading2"/>
      </w:pPr>
      <w:bookmarkStart w:id="0" w:name="_Toc155342963"/>
      <w:bookmarkStart w:id="1" w:name="_GoBack"/>
      <w:r w:rsidRPr="00787BF1">
        <w:rPr>
          <w:b/>
          <w:bCs/>
          <w:sz w:val="24"/>
          <w:szCs w:val="24"/>
        </w:rPr>
        <w:t>285. TỰ DO HÀNG HẢI</w:t>
      </w:r>
      <w:bookmarkEnd w:id="1"/>
      <w:r w:rsidRPr="00787BF1">
        <w:rPr>
          <w:bCs/>
          <w:szCs w:val="24"/>
        </w:rPr>
        <w:t>,</w:t>
      </w:r>
      <w:r w:rsidRPr="00787BF1">
        <w:rPr>
          <w:b/>
          <w:bCs/>
        </w:rPr>
        <w:t xml:space="preserve"> </w:t>
      </w:r>
      <w:r w:rsidRPr="00787BF1">
        <w:rPr>
          <w:bCs/>
        </w:rPr>
        <w:t xml:space="preserve">một trong các nguyên tắc lâu đời, trụ cột của luật biển quốc tế ghi nhận quyền </w:t>
      </w:r>
      <w:r w:rsidRPr="00787BF1">
        <w:t>tự do di chuyển trên biển của tàu thuyền. Mỗi quốc gia, không phụ thuộc vào việc có biển hay không có biển, đều có quyền để tàu mang quốc kỳ nước mình qua lại tự do trên biển mà không bị đe dọa bởi tàu thuyền của các quốc gia khác.</w:t>
      </w:r>
      <w:bookmarkEnd w:id="0"/>
      <w:r w:rsidRPr="00787BF1">
        <w:t xml:space="preserve"> </w:t>
      </w:r>
    </w:p>
    <w:p w:rsidR="00567FAE" w:rsidRPr="00787BF1" w:rsidRDefault="00567FAE" w:rsidP="00567FAE">
      <w:pPr>
        <w:spacing w:before="120"/>
        <w:ind w:firstLine="284"/>
        <w:jc w:val="both"/>
        <w:rPr>
          <w:szCs w:val="28"/>
          <w:u w:color="000000"/>
        </w:rPr>
      </w:pPr>
      <w:r w:rsidRPr="00787BF1">
        <w:rPr>
          <w:szCs w:val="28"/>
        </w:rPr>
        <w:t xml:space="preserve">TDHH hay tự do trên biển không chỉ là nguyên tắc trụ cột của luật biển quốc tế mà còn là </w:t>
      </w:r>
      <w:r w:rsidRPr="00787BF1">
        <w:rPr>
          <w:szCs w:val="28"/>
          <w:u w:color="000000"/>
        </w:rPr>
        <w:t>quyền được công nhận trong luật pháp quốc tế</w:t>
      </w:r>
      <w:r w:rsidRPr="00787BF1">
        <w:rPr>
          <w:szCs w:val="28"/>
        </w:rPr>
        <w:t>, thể chế hóa trong</w:t>
      </w:r>
      <w:r w:rsidRPr="00787BF1">
        <w:rPr>
          <w:szCs w:val="28"/>
          <w:u w:color="000000"/>
        </w:rPr>
        <w:t xml:space="preserve"> các </w:t>
      </w:r>
      <w:r w:rsidRPr="00787BF1">
        <w:rPr>
          <w:szCs w:val="28"/>
        </w:rPr>
        <w:t>điều ước quốc tế</w:t>
      </w:r>
      <w:r w:rsidRPr="00787BF1">
        <w:rPr>
          <w:szCs w:val="28"/>
          <w:u w:color="000000"/>
        </w:rPr>
        <w:t xml:space="preserve"> dành cho tàu của một hoặc tất cả các quốc gia điều hướng luồng đi </w:t>
      </w:r>
      <w:r w:rsidRPr="00787BF1">
        <w:rPr>
          <w:szCs w:val="28"/>
        </w:rPr>
        <w:t xml:space="preserve">tự do </w:t>
      </w:r>
      <w:r w:rsidRPr="00787BF1">
        <w:rPr>
          <w:szCs w:val="28"/>
          <w:u w:color="000000"/>
        </w:rPr>
        <w:t>qua</w:t>
      </w:r>
      <w:r w:rsidRPr="00787BF1">
        <w:rPr>
          <w:szCs w:val="28"/>
        </w:rPr>
        <w:t xml:space="preserve"> biển</w:t>
      </w:r>
      <w:r w:rsidRPr="00787BF1">
        <w:rPr>
          <w:szCs w:val="28"/>
          <w:u w:color="000000"/>
        </w:rPr>
        <w:t xml:space="preserve"> hai hoặc nhiều quốc gia.</w:t>
      </w:r>
    </w:p>
    <w:p w:rsidR="00567FAE" w:rsidRPr="00787BF1" w:rsidRDefault="00567FAE" w:rsidP="00567FAE">
      <w:pPr>
        <w:spacing w:before="120"/>
        <w:ind w:firstLine="284"/>
        <w:jc w:val="both"/>
        <w:rPr>
          <w:rFonts w:eastAsia="SimSun"/>
          <w:szCs w:val="28"/>
        </w:rPr>
      </w:pPr>
      <w:r w:rsidRPr="00787BF1">
        <w:rPr>
          <w:rFonts w:eastAsia="SimSun"/>
          <w:szCs w:val="28"/>
        </w:rPr>
        <w:t xml:space="preserve">Công ước </w:t>
      </w:r>
      <w:r>
        <w:rPr>
          <w:rFonts w:eastAsia="SimSun"/>
          <w:szCs w:val="28"/>
        </w:rPr>
        <w:t>Liên hợp quốc</w:t>
      </w:r>
      <w:r w:rsidRPr="00787BF1">
        <w:rPr>
          <w:rFonts w:eastAsia="SimSun"/>
          <w:szCs w:val="28"/>
        </w:rPr>
        <w:t xml:space="preserve"> về Luật biển </w:t>
      </w:r>
      <w:r>
        <w:rPr>
          <w:rFonts w:eastAsia="SimSun"/>
          <w:szCs w:val="28"/>
        </w:rPr>
        <w:t xml:space="preserve">năm </w:t>
      </w:r>
      <w:r w:rsidRPr="00787BF1">
        <w:rPr>
          <w:rFonts w:eastAsia="SimSun"/>
          <w:szCs w:val="28"/>
        </w:rPr>
        <w:t>1982 (UNCLOS) ghi nhận TDHH gồm quyền tự do đi lại trong các eo biển quốc tế (Điều 36) quyền tự do đi lại trong vùng đặc quyền kinh tế (Điều 58) và vùng Biển cả (Điều 78 và Điều 87), quyền qua lại vô hại trong lãnh hải và vùng nước quần đảo (Điều 17 đến Điều 26 và Điều 52); quyền tự do quá cảnh trong các eo biển hàng hải (Điều 38). Tóm lại, quyền TDHH có chung nội dung là tự do đi lại của tàu thuyền.</w:t>
      </w:r>
    </w:p>
    <w:p w:rsidR="00567FAE" w:rsidRPr="00787BF1" w:rsidRDefault="00567FAE" w:rsidP="00567FAE">
      <w:pPr>
        <w:autoSpaceDE w:val="0"/>
        <w:autoSpaceDN w:val="0"/>
        <w:adjustRightInd w:val="0"/>
        <w:spacing w:before="120"/>
        <w:ind w:firstLine="284"/>
        <w:jc w:val="both"/>
        <w:rPr>
          <w:rFonts w:eastAsia="SimSun"/>
          <w:szCs w:val="28"/>
        </w:rPr>
      </w:pPr>
      <w:r w:rsidRPr="00787BF1">
        <w:rPr>
          <w:rFonts w:eastAsia="SimSun"/>
          <w:szCs w:val="28"/>
        </w:rPr>
        <w:t>Ví dụ cụ thể, Điều 87 UNCLOS 1982 quy định về TDHH tại vùng Biển cả với nội dung như sau: i) Biển cả (</w:t>
      </w:r>
      <w:r w:rsidRPr="00787BF1">
        <w:rPr>
          <w:rFonts w:eastAsia="SimSun"/>
          <w:i/>
          <w:iCs/>
          <w:szCs w:val="28"/>
        </w:rPr>
        <w:t>cg. Biển quốc tế, công hải</w:t>
      </w:r>
      <w:r w:rsidRPr="00787BF1">
        <w:rPr>
          <w:rFonts w:eastAsia="SimSun"/>
          <w:szCs w:val="28"/>
        </w:rPr>
        <w:t xml:space="preserve">) được để ngỏ cho tất cả các quốc gia, dù có biển hay không có biển. Quyền tự do trên biển cả được thực hiện trong những điều kiện do các quy định của Công ước hay và những quy tắc khác của pháp luật quốc tế trù định. Đối với các quốc gia dù có biển hay không có biển, quyền tự do này đặc biệt bao gồm: tự do hàng hải; tự do hàng không; tự do đặt các dây cáp hoặc ống dẫn ngầm với điều kiện tuân thủ Phần VI Công ước; tự do xây dựng các đảo nhân tạo hoặc các thiết bị khác được pháp luật quốc tế cho phép, với điều kiện tuân thủ Phần VI Công ước; tự do đánh bắt hải sản trong các điều đã được nêu ở Mục 2; tự do nghiên cứu khoa học với các điều kiện tuân thủ các Phần VI và VIII Công ước. ii) Mỗi quốc gia khi thực hiện các quyền tự do này phải tính đến lợi ích của việc thực hiện tự do trên biển cả của các quốc gia khác, cũng như đến các quyền được Công ước thừa nhận liên quan đến các hoạt động trong Vùng. </w:t>
      </w:r>
    </w:p>
    <w:p w:rsidR="00567FAE" w:rsidRPr="00787BF1" w:rsidRDefault="00567FAE" w:rsidP="00567FAE">
      <w:pPr>
        <w:spacing w:before="120"/>
        <w:ind w:firstLine="284"/>
        <w:jc w:val="both"/>
        <w:rPr>
          <w:rFonts w:eastAsia="SimSun"/>
          <w:szCs w:val="28"/>
        </w:rPr>
      </w:pPr>
      <w:r w:rsidRPr="00787BF1">
        <w:rPr>
          <w:szCs w:val="28"/>
        </w:rPr>
        <w:t>Quyền tự do hàng hải trong V</w:t>
      </w:r>
      <w:r w:rsidRPr="00787BF1">
        <w:rPr>
          <w:szCs w:val="28"/>
          <w:u w:color="000000"/>
        </w:rPr>
        <w:t>ùng đặc quyền kinh tế (EEZ) được quy định theo UNCLOS</w:t>
      </w:r>
      <w:r w:rsidRPr="00787BF1">
        <w:rPr>
          <w:szCs w:val="28"/>
        </w:rPr>
        <w:t xml:space="preserve"> 1982 </w:t>
      </w:r>
      <w:r w:rsidRPr="00787BF1">
        <w:rPr>
          <w:szCs w:val="28"/>
          <w:u w:color="000000"/>
        </w:rPr>
        <w:t xml:space="preserve">được coi là sự tiếp nối của quyền tự do hàng hải trên biển khơi. Đó là quyền được hưởng bởi tất cả các </w:t>
      </w:r>
      <w:r w:rsidRPr="00787BF1">
        <w:rPr>
          <w:szCs w:val="28"/>
        </w:rPr>
        <w:t>q</w:t>
      </w:r>
      <w:r w:rsidRPr="00787BF1">
        <w:rPr>
          <w:szCs w:val="28"/>
          <w:u w:color="000000"/>
        </w:rPr>
        <w:t>uốc gia, dù có ven biển hay không</w:t>
      </w:r>
      <w:r w:rsidRPr="00787BF1">
        <w:rPr>
          <w:szCs w:val="28"/>
        </w:rPr>
        <w:t xml:space="preserve"> có biển</w:t>
      </w:r>
      <w:r w:rsidRPr="00787BF1">
        <w:rPr>
          <w:szCs w:val="28"/>
          <w:u w:color="000000"/>
        </w:rPr>
        <w:t>.</w:t>
      </w:r>
      <w:r w:rsidRPr="00787BF1">
        <w:rPr>
          <w:szCs w:val="28"/>
        </w:rPr>
        <w:t xml:space="preserve"> Theo </w:t>
      </w:r>
      <w:r w:rsidRPr="00787BF1">
        <w:rPr>
          <w:rFonts w:eastAsia="SimSun"/>
          <w:szCs w:val="28"/>
        </w:rPr>
        <w:t>UNCLOS 1982, trong EEZ, tất cả các quốc gia, dù có biển hay không có biển được hưởng quyền tự do hàng hải, quyền tự do hàng không, quyền tự do lắp đặt dây cáp và ống dẫn ngầm, quyền tự do sử dụng biển vào các mục đích khác hợp pháp về mặt quốc tế phù hợp quy định của Công ước (do Vùng tiếp giáp lãnh hải đồng thời nằm trong phạm vi Vùng đặc quyền về kinh tế, nên các quyền này của các quốc gia cũng được áp dụng cho Vùng tiếp giáp lãnh hải).</w:t>
      </w:r>
    </w:p>
    <w:p w:rsidR="00567FAE" w:rsidRPr="00787BF1" w:rsidRDefault="00567FAE" w:rsidP="00567FAE">
      <w:pPr>
        <w:autoSpaceDE w:val="0"/>
        <w:autoSpaceDN w:val="0"/>
        <w:adjustRightInd w:val="0"/>
        <w:spacing w:before="120"/>
        <w:ind w:firstLine="284"/>
        <w:jc w:val="both"/>
        <w:rPr>
          <w:rFonts w:eastAsia="SimSun"/>
          <w:szCs w:val="28"/>
        </w:rPr>
      </w:pPr>
      <w:r w:rsidRPr="00787BF1">
        <w:rPr>
          <w:rFonts w:eastAsia="SimSun"/>
          <w:szCs w:val="28"/>
        </w:rPr>
        <w:t xml:space="preserve">Khoản 4 Điều 16 Luật Biển Việt Nam năm 2013, được Quốc hội nước CHXHCN Việt Nam khóa XIII, kỳ họp thứ 3 thông qua ngày 21.6.2012 cũng nêu rõ: “Nhà nước tôn trọng quyền TDHH, hàng không; quyền đặt dây cáp, ống dẫn ngầm và hoạt động sử dụng biển hợp pháp của các quốc gia khác trong vùng đặc </w:t>
      </w:r>
      <w:r w:rsidRPr="00787BF1">
        <w:rPr>
          <w:rFonts w:eastAsia="SimSun"/>
          <w:szCs w:val="28"/>
        </w:rPr>
        <w:lastRenderedPageBreak/>
        <w:t>quyền kinh tế của Việt Nam theo quy định của Luật này và điều ước quốc tế mà nước Cộng hòa Xã hội Chủ nghĩa Việt Nam là thành viên, không làm phương hại đến quyền chủ quyền, quyền tài phán quốc gia và lợi ích quốc gia trên biển của Việt Nam”.</w:t>
      </w:r>
    </w:p>
    <w:p w:rsidR="00567FAE" w:rsidRPr="00787BF1" w:rsidRDefault="00567FAE" w:rsidP="00567FAE">
      <w:pPr>
        <w:spacing w:before="120"/>
        <w:ind w:firstLine="284"/>
        <w:jc w:val="both"/>
        <w:rPr>
          <w:szCs w:val="28"/>
        </w:rPr>
      </w:pPr>
      <w:r w:rsidRPr="00787BF1">
        <w:rPr>
          <w:szCs w:val="28"/>
        </w:rPr>
        <w:t>TDHH cũng cho phép quốc gia ven biển trong điều kiện nhất định có quyền giới hạn - liên quan đến quyền qua lại vô hại và quyền quá cảnh của tàu thuyền.</w:t>
      </w:r>
    </w:p>
    <w:p w:rsidR="00567FAE" w:rsidRPr="00787BF1" w:rsidRDefault="00567FAE" w:rsidP="00567FAE">
      <w:pPr>
        <w:spacing w:before="120"/>
        <w:ind w:firstLine="284"/>
        <w:jc w:val="both"/>
        <w:rPr>
          <w:szCs w:val="28"/>
        </w:rPr>
      </w:pPr>
      <w:r w:rsidRPr="00787BF1">
        <w:rPr>
          <w:szCs w:val="28"/>
        </w:rPr>
        <w:t>Quyền qua lại vô hại của tàu thuyền nước ngoài trong lãnh hải của một quốc gia ven biển được định nghĩa là “việc đi qua lãnh hải nhằm mục đích (a) đi qua vùng biển đó mà không đi vào nội thủy hoặc cập cảng trong hoặc ngoài nội thủy; hoặc (b) đi đến hoặc đi từ nội thủy hoặc cập bến cảng hoặc cảng đó. Hành trình phải “liên tục và nhanh chóng”, nhưng có thể bao gồm việc dừng và thả neo khi xảy ra sự cố bất khả kháng hoặc do sự điều hướng thông thường cần thiết của tàu thuyền.</w:t>
      </w:r>
    </w:p>
    <w:p w:rsidR="00567FAE" w:rsidRPr="00787BF1" w:rsidRDefault="00567FAE" w:rsidP="00567FAE">
      <w:pPr>
        <w:spacing w:before="120"/>
        <w:ind w:firstLine="284"/>
        <w:jc w:val="both"/>
        <w:rPr>
          <w:szCs w:val="28"/>
        </w:rPr>
      </w:pPr>
      <w:r w:rsidRPr="00787BF1">
        <w:rPr>
          <w:szCs w:val="28"/>
          <w:u w:color="000000"/>
        </w:rPr>
        <w:t xml:space="preserve">Quyền quá cảnh được định nghĩa là việc thực hiện các quyền tự do hàng hải và hàng không, chỉ với mục đích quá cảnh liên tục và nhanh chóng qua một eo biển quốc tế giữa một phần của biển cả hoặc </w:t>
      </w:r>
      <w:r w:rsidRPr="00787BF1">
        <w:rPr>
          <w:szCs w:val="28"/>
        </w:rPr>
        <w:t>EEZ</w:t>
      </w:r>
      <w:r w:rsidRPr="00787BF1">
        <w:rPr>
          <w:szCs w:val="28"/>
          <w:u w:color="000000"/>
        </w:rPr>
        <w:t xml:space="preserve"> và một phần khác của biển cả hoặc một </w:t>
      </w:r>
      <w:r w:rsidRPr="00787BF1">
        <w:rPr>
          <w:szCs w:val="28"/>
        </w:rPr>
        <w:t>EEZ theo cách</w:t>
      </w:r>
      <w:r w:rsidRPr="00787BF1">
        <w:rPr>
          <w:szCs w:val="28"/>
          <w:u w:color="000000"/>
        </w:rPr>
        <w:t xml:space="preserve"> thức hoạt động </w:t>
      </w:r>
      <w:r w:rsidRPr="00787BF1">
        <w:rPr>
          <w:szCs w:val="28"/>
        </w:rPr>
        <w:t xml:space="preserve">thông </w:t>
      </w:r>
      <w:r w:rsidRPr="00787BF1">
        <w:rPr>
          <w:szCs w:val="28"/>
          <w:u w:color="000000"/>
        </w:rPr>
        <w:t xml:space="preserve">thường </w:t>
      </w:r>
      <w:r w:rsidRPr="00787BF1">
        <w:rPr>
          <w:szCs w:val="28"/>
        </w:rPr>
        <w:t>của</w:t>
      </w:r>
      <w:r w:rsidRPr="00787BF1">
        <w:rPr>
          <w:szCs w:val="28"/>
          <w:u w:color="000000"/>
        </w:rPr>
        <w:t xml:space="preserve"> tàu</w:t>
      </w:r>
      <w:r w:rsidRPr="00787BF1">
        <w:rPr>
          <w:szCs w:val="28"/>
        </w:rPr>
        <w:t xml:space="preserve"> thuyễn</w:t>
      </w:r>
      <w:r w:rsidRPr="00787BF1">
        <w:rPr>
          <w:szCs w:val="28"/>
          <w:u w:color="000000"/>
        </w:rPr>
        <w:t xml:space="preserve"> và máy bay </w:t>
      </w:r>
      <w:r w:rsidRPr="00787BF1">
        <w:rPr>
          <w:szCs w:val="28"/>
        </w:rPr>
        <w:t xml:space="preserve">khi </w:t>
      </w:r>
      <w:r w:rsidRPr="00787BF1">
        <w:rPr>
          <w:szCs w:val="28"/>
          <w:u w:color="000000"/>
        </w:rPr>
        <w:t xml:space="preserve">đi qua </w:t>
      </w:r>
      <w:r w:rsidRPr="00787BF1">
        <w:rPr>
          <w:szCs w:val="28"/>
        </w:rPr>
        <w:t>eo biển quốc tế</w:t>
      </w:r>
      <w:r w:rsidRPr="00787BF1">
        <w:rPr>
          <w:szCs w:val="28"/>
          <w:u w:color="000000"/>
        </w:rPr>
        <w:t>.</w:t>
      </w:r>
      <w:r w:rsidRPr="00787BF1">
        <w:rPr>
          <w:szCs w:val="28"/>
        </w:rPr>
        <w:t xml:space="preserve"> Các tàu và máy bay thực hiện quyền quá cảnh phải (a) hoạt động không chậm trễ khi qua hoặc vượt qua eo biển; (b) kiềm chế mọi hành động đe dọa hoặc sử dụng vũ lực chống lại chủ quyền, toàn vẹn lãnh thổ hoặc nền chính trị độc lập của các quốc gia giáp eo biển; và (c) không thực hiện bất kỳ hành động nào ngoài những hoạt động thông thường cần thiết do cách thức vận hành trong quá trình di chuyển liên tục và nhanh chóng trừ khi lý do bất khả kháng hoặc do sự cố gây ra. </w:t>
      </w:r>
    </w:p>
    <w:p w:rsidR="00567FAE" w:rsidRPr="00787BF1" w:rsidRDefault="00567FAE" w:rsidP="00567FAE">
      <w:pPr>
        <w:spacing w:before="120"/>
        <w:ind w:firstLine="284"/>
        <w:jc w:val="both"/>
        <w:rPr>
          <w:szCs w:val="28"/>
          <w:u w:color="000000"/>
        </w:rPr>
      </w:pPr>
      <w:r w:rsidRPr="00787BF1">
        <w:rPr>
          <w:szCs w:val="28"/>
        </w:rPr>
        <w:t>Sự</w:t>
      </w:r>
      <w:r w:rsidRPr="00787BF1">
        <w:rPr>
          <w:szCs w:val="28"/>
          <w:u w:color="000000"/>
        </w:rPr>
        <w:t xml:space="preserve"> </w:t>
      </w:r>
      <w:r w:rsidRPr="00787BF1">
        <w:rPr>
          <w:szCs w:val="28"/>
        </w:rPr>
        <w:t xml:space="preserve">giới hạn </w:t>
      </w:r>
      <w:r w:rsidRPr="00787BF1">
        <w:rPr>
          <w:szCs w:val="28"/>
          <w:u w:color="000000"/>
        </w:rPr>
        <w:t xml:space="preserve">khác biệt chính giữa </w:t>
      </w:r>
      <w:r w:rsidRPr="00787BF1">
        <w:rPr>
          <w:szCs w:val="28"/>
        </w:rPr>
        <w:t>quyền qua lại vô hại</w:t>
      </w:r>
      <w:r w:rsidRPr="00787BF1">
        <w:rPr>
          <w:szCs w:val="28"/>
          <w:u w:color="000000"/>
        </w:rPr>
        <w:t xml:space="preserve"> và </w:t>
      </w:r>
      <w:r w:rsidRPr="00787BF1">
        <w:rPr>
          <w:szCs w:val="28"/>
        </w:rPr>
        <w:t>quyền</w:t>
      </w:r>
      <w:r w:rsidRPr="00787BF1">
        <w:rPr>
          <w:szCs w:val="28"/>
          <w:u w:color="000000"/>
        </w:rPr>
        <w:t xml:space="preserve"> quá cảnh đặc biệt liên quan đến các hoạt động quân sự</w:t>
      </w:r>
      <w:r w:rsidRPr="00787BF1">
        <w:rPr>
          <w:szCs w:val="28"/>
        </w:rPr>
        <w:t>; t</w:t>
      </w:r>
      <w:r w:rsidRPr="00787BF1">
        <w:rPr>
          <w:szCs w:val="28"/>
          <w:u w:color="000000"/>
        </w:rPr>
        <w:t>hực tế</w:t>
      </w:r>
      <w:r w:rsidRPr="00787BF1">
        <w:rPr>
          <w:szCs w:val="28"/>
        </w:rPr>
        <w:t xml:space="preserve">, việc giới </w:t>
      </w:r>
      <w:r w:rsidRPr="00787BF1">
        <w:rPr>
          <w:szCs w:val="28"/>
          <w:u w:color="000000"/>
        </w:rPr>
        <w:t>hạn đố</w:t>
      </w:r>
      <w:r w:rsidRPr="00787BF1">
        <w:rPr>
          <w:szCs w:val="28"/>
        </w:rPr>
        <w:t>i với quyền</w:t>
      </w:r>
      <w:r w:rsidRPr="00787BF1">
        <w:rPr>
          <w:szCs w:val="28"/>
          <w:u w:color="000000"/>
        </w:rPr>
        <w:t xml:space="preserve"> quá cảnh </w:t>
      </w:r>
      <w:r w:rsidRPr="00787BF1">
        <w:rPr>
          <w:szCs w:val="28"/>
        </w:rPr>
        <w:t xml:space="preserve">ít hơn </w:t>
      </w:r>
      <w:r w:rsidRPr="00787BF1">
        <w:rPr>
          <w:szCs w:val="28"/>
          <w:u w:color="000000"/>
        </w:rPr>
        <w:t xml:space="preserve">so với </w:t>
      </w:r>
      <w:r w:rsidRPr="00787BF1">
        <w:rPr>
          <w:szCs w:val="28"/>
        </w:rPr>
        <w:t>quyền qua lại vô hại</w:t>
      </w:r>
      <w:r w:rsidRPr="00787BF1">
        <w:rPr>
          <w:szCs w:val="28"/>
          <w:u w:color="000000"/>
        </w:rPr>
        <w:t xml:space="preserve">. </w:t>
      </w:r>
      <w:r w:rsidRPr="00787BF1">
        <w:rPr>
          <w:szCs w:val="28"/>
        </w:rPr>
        <w:t>Khác với tàu thuyền, không tồn tại</w:t>
      </w:r>
      <w:r w:rsidRPr="00787BF1">
        <w:rPr>
          <w:szCs w:val="28"/>
          <w:u w:color="000000"/>
        </w:rPr>
        <w:t xml:space="preserve"> quyền đi qua</w:t>
      </w:r>
      <w:r w:rsidRPr="00787BF1">
        <w:rPr>
          <w:szCs w:val="28"/>
        </w:rPr>
        <w:t xml:space="preserve"> lại</w:t>
      </w:r>
      <w:r w:rsidRPr="00787BF1">
        <w:rPr>
          <w:szCs w:val="28"/>
          <w:u w:color="000000"/>
        </w:rPr>
        <w:t xml:space="preserve"> vô hại đối với máy bay</w:t>
      </w:r>
      <w:r w:rsidRPr="00787BF1">
        <w:rPr>
          <w:szCs w:val="28"/>
        </w:rPr>
        <w:t xml:space="preserve"> nên</w:t>
      </w:r>
      <w:r w:rsidRPr="00787BF1">
        <w:rPr>
          <w:szCs w:val="28"/>
          <w:u w:color="000000"/>
        </w:rPr>
        <w:t xml:space="preserve"> các quốc gia ven biển có thể từ chối cho</w:t>
      </w:r>
      <w:r w:rsidRPr="00787BF1">
        <w:rPr>
          <w:szCs w:val="28"/>
        </w:rPr>
        <w:t xml:space="preserve"> phép</w:t>
      </w:r>
      <w:r w:rsidRPr="00787BF1">
        <w:rPr>
          <w:szCs w:val="28"/>
          <w:u w:color="000000"/>
        </w:rPr>
        <w:t xml:space="preserve"> máy bay </w:t>
      </w:r>
      <w:r w:rsidRPr="00787BF1">
        <w:rPr>
          <w:szCs w:val="28"/>
        </w:rPr>
        <w:t xml:space="preserve">muốn bay </w:t>
      </w:r>
      <w:r w:rsidRPr="00787BF1">
        <w:rPr>
          <w:szCs w:val="28"/>
          <w:u w:color="000000"/>
        </w:rPr>
        <w:t xml:space="preserve">qua không phận </w:t>
      </w:r>
      <w:r w:rsidRPr="00787BF1">
        <w:rPr>
          <w:szCs w:val="28"/>
        </w:rPr>
        <w:t xml:space="preserve">phía </w:t>
      </w:r>
      <w:r w:rsidRPr="00787BF1">
        <w:rPr>
          <w:szCs w:val="28"/>
          <w:u w:color="000000"/>
        </w:rPr>
        <w:t>trên lãnh hải của họ nhưng</w:t>
      </w:r>
      <w:r w:rsidRPr="00787BF1">
        <w:rPr>
          <w:szCs w:val="28"/>
        </w:rPr>
        <w:t xml:space="preserve"> </w:t>
      </w:r>
      <w:r w:rsidRPr="00787BF1">
        <w:rPr>
          <w:szCs w:val="28"/>
          <w:u w:color="000000"/>
        </w:rPr>
        <w:t xml:space="preserve">không được từ chối </w:t>
      </w:r>
      <w:r w:rsidRPr="00787BF1">
        <w:rPr>
          <w:szCs w:val="28"/>
        </w:rPr>
        <w:t xml:space="preserve">quyền </w:t>
      </w:r>
      <w:r w:rsidRPr="00787BF1">
        <w:rPr>
          <w:szCs w:val="28"/>
          <w:u w:color="000000"/>
        </w:rPr>
        <w:t xml:space="preserve">quá cảnh đối với máy bay </w:t>
      </w:r>
      <w:r w:rsidRPr="00787BF1">
        <w:rPr>
          <w:szCs w:val="28"/>
        </w:rPr>
        <w:t xml:space="preserve">bay </w:t>
      </w:r>
      <w:r w:rsidRPr="00787BF1">
        <w:rPr>
          <w:szCs w:val="28"/>
          <w:u w:color="000000"/>
        </w:rPr>
        <w:t>qua eo biển quốc tế.</w:t>
      </w:r>
    </w:p>
    <w:p w:rsidR="00567FAE" w:rsidRPr="00787BF1" w:rsidRDefault="00567FAE" w:rsidP="00567FAE">
      <w:pPr>
        <w:spacing w:before="120"/>
        <w:ind w:firstLine="284"/>
        <w:jc w:val="both"/>
        <w:rPr>
          <w:rFonts w:eastAsia="SimSun"/>
          <w:szCs w:val="28"/>
        </w:rPr>
      </w:pPr>
      <w:r w:rsidRPr="00787BF1">
        <w:rPr>
          <w:rFonts w:eastAsia="SimSun"/>
          <w:szCs w:val="28"/>
        </w:rPr>
        <w:t xml:space="preserve">Trước khi UNCLOS được ký kết, trên thế giới đã có những học thuyết về biển. Từ thế kỷ XVII, khái niệm "tự do hàng hải" đã xuất hiện trong các thỏa thuận về biển. Theo quy tắc "tầm đại bác" do quan tư pháp Hà Lan khi đó là Cornelius van Bynkershoek soạn thảo, mỗi quốc gia chỉ được hưởng vùng đặc quyền từ bờ biển ra xa 3 hải lý, tức tương đương tầm bắn của đại bác thời đó. Đến năm 1967, sau khi một số Công ước về Luật Biển năm 1958 đã có hiệu lực, 25 quốc gia vẫn theo quy tắc "tầm đại bác", trong khi có đến 66 quốc gia áp dụng quy tắc 12 hải lý và 8 nước đã triển khai vùng lãnh hải 200 hải lý. Cho đến tháng 5.2008, còn 2 quốc gia là Jordan và Palau vẫn áp dụng quy tắc 3 hải lý. Nội dung chính của UNCLOS năm 1982 là những quy định liên quan đến TDHH quốc tế, các quy tắc ứng xử đối với vùng biển bên ngoài vùng đặc quyền kinh tế (EEZ), quy định về biển đảo, việc sử dụng vùng EEZ của mỗi quốc gia và vấn đề khai thác các nguồn tài nguyên </w:t>
      </w:r>
      <w:r w:rsidRPr="00787BF1">
        <w:rPr>
          <w:rFonts w:eastAsia="SimSun"/>
          <w:szCs w:val="28"/>
        </w:rPr>
        <w:lastRenderedPageBreak/>
        <w:t>biển, trong đó quan trọng nhất là khai thác khoáng sản dưới đáy đại dương và đánh bắt hải sản trong vùng biển quốc tế.</w:t>
      </w:r>
    </w:p>
    <w:p w:rsidR="00567FAE" w:rsidRPr="00787BF1" w:rsidRDefault="00567FAE" w:rsidP="00567FAE">
      <w:pPr>
        <w:autoSpaceDE w:val="0"/>
        <w:autoSpaceDN w:val="0"/>
        <w:adjustRightInd w:val="0"/>
        <w:spacing w:before="120"/>
        <w:ind w:firstLine="284"/>
        <w:jc w:val="both"/>
        <w:rPr>
          <w:rFonts w:eastAsia="SimSun"/>
          <w:szCs w:val="28"/>
        </w:rPr>
      </w:pPr>
      <w:r w:rsidRPr="00787BF1">
        <w:rPr>
          <w:rFonts w:eastAsia="SimSun"/>
          <w:szCs w:val="28"/>
        </w:rPr>
        <w:t>Quốc gia ven biển có quyền quy định các tuyến đường qua lại và phân chia các luồng giao thông dành cho tàu thuyền nước ngoài khi đi qua lãnh hải của mình. Các tuyến đường này phải phù hợp với các quy định của UNCLOS 1982 và các luật quốc tế có liên quan khác. Trong trường hợp có sự vi phạm, đe dọa hòa bình, an ninh, trật tự của mình, quốc gia ven biển có quyền sử dụng các biện pháp thích hợp để bảo vệ chủ quyền, kể cả đình chỉ không cho qua lại không gây hại. Quốc gia ven biển cũng có thể cho phép tàu thuyền nước ngoài được tạm dừng, tạm trú khi thực hiện quyền qua lại không gây hại trong các trường hợp bất khả kháng (force majeure) như: mưa bão, thiên tai, chiến tranh v.v hay các sự cố hàng hải có thể gây nguy hiểm đến sự an toàn hàng hải hay tính mạng hành khách. Tàu chiến nước ngoài cũng có quyền qua lại không gây hại trong lãnh hải của nước ven biển. Tuy nhiên, mọi vũ khí trên tàu phải được che phủ bạt, tức là chúng không ở trong trạng thái sẵn sàng chiến đấu. Tàu ngầm nước ngoài qua lại lãnh hải phải ở trạng thái nổi. Thông thường, tàu ngầm, tàu chiến có cùng cờ quốc tịch qua lại lãnh hải của nước khác không đi theo đoàn quá 2 chiếc.</w:t>
      </w:r>
    </w:p>
    <w:p w:rsidR="00567FAE" w:rsidRPr="00787BF1" w:rsidRDefault="00567FAE" w:rsidP="00567FAE">
      <w:pPr>
        <w:autoSpaceDE w:val="0"/>
        <w:autoSpaceDN w:val="0"/>
        <w:adjustRightInd w:val="0"/>
        <w:spacing w:before="120"/>
        <w:ind w:firstLine="284"/>
        <w:jc w:val="both"/>
        <w:rPr>
          <w:rFonts w:eastAsia="SimSun"/>
          <w:szCs w:val="28"/>
        </w:rPr>
      </w:pPr>
      <w:r w:rsidRPr="00787BF1">
        <w:rPr>
          <w:rFonts w:eastAsia="SimSun"/>
          <w:szCs w:val="28"/>
        </w:rPr>
        <w:t>Lợi ích của TDHH là rất lớn, đó là lợi ích then chốt và cũng là lợi ích kinh tế và an ninh quan trọng nhất đối với nhiều nước. Trong khi đó, Biển Đông là tuyến đường thương mại quan trọng nhất và Hoa Kỳ cũng như nhiều quốc gia khác coi tuyến đường này là vùng nước quốc tế cho phép tàu thuyền quân sự và thương mại tự do qua lại. Một phân tích của Hoa Kỳ có nêu: “Mối đe dọa đối với TDHH qua biển Đông sẽ phá vỡ nghiêm trọng đến kinh tế khu vực. Sự tăng trưởng của kinh tế và an ninh của Hoa Kỳ phụ thuộc vào việc duy trì TDHH với cả tàu buôn và tàu quân sự”. Hoa Kỳ luôn ủng hộ TDHH trên thế giới, bao gồm cả biển Đông, và có lợi ích tại các tuyến đường biển trong khu vực và do đó quan tâm đến việc giải quyết hòa bình tranh chấp tại hai quần đảo Hoàng Sa và Trường Sa cũng như các vùng khác.</w:t>
      </w:r>
    </w:p>
    <w:p w:rsidR="00567FAE" w:rsidRPr="00787BF1" w:rsidRDefault="00567FAE" w:rsidP="00567FAE">
      <w:pPr>
        <w:autoSpaceDE w:val="0"/>
        <w:autoSpaceDN w:val="0"/>
        <w:adjustRightInd w:val="0"/>
        <w:spacing w:before="120"/>
        <w:ind w:firstLine="284"/>
        <w:jc w:val="both"/>
        <w:rPr>
          <w:rFonts w:eastAsia="SimSun"/>
          <w:szCs w:val="28"/>
        </w:rPr>
      </w:pPr>
      <w:r w:rsidRPr="00787BF1">
        <w:rPr>
          <w:rFonts w:eastAsia="SimSun"/>
          <w:szCs w:val="28"/>
        </w:rPr>
        <w:t>Tự do hàng hải đang trở thành vấn đề trung tâm giữa Mỹ, Nhật Bản với Trung Quốc trong bối cảnh Bắc Kinh ngày càng gia tăng hoạt động. Thủ tướng Nhật Bản Shinzo Abe đã quyết định nhấn mạnh vấn đề này tại hội nghị thượng đỉnh Đông Á ngày 9.10.2013 ở Brunei với các thành viên ASEAN. Ông Shinzo Abe vẫn thúc các quan chức Bộ Ngoại giao Nhật Bản phải vận động các đối tác ASEAN đưa vấn đề này vào tuyên bố chung ASEAN - Nhật Bản: "Sử dụng bất cứ phương tiện cần thiết nào để đảm bảo rằng "tự do hàng hải" xuất hiện trong văn bản (tuyên bố chung ASEAN-Nhật Bản)". Kể từ tháng 12.2013 khi nhậm chức Thủ tướng, ông Shinzo Abe đã nhấn mạnh tầm quan trọng của TDHH trong các cuộc gặp gỡ với các nhà lãnh đạo nước ngoài. Ý định rõ ràng của Thủ tướng Nhật Bản là gửi thông điệp mạnh mẽ đến Bắc Kinh trong bối cảnh Trung Quốc tiếp tục đe dọa các nước láng giềng bằng cách phái đội tàu đánh cá ra Hoa Đông và xuống Biển Đông (đánh bắt trái phép).</w:t>
      </w:r>
    </w:p>
    <w:p w:rsidR="00567FAE" w:rsidRPr="00787BF1" w:rsidRDefault="00567FAE" w:rsidP="00567FAE">
      <w:pPr>
        <w:autoSpaceDE w:val="0"/>
        <w:autoSpaceDN w:val="0"/>
        <w:adjustRightInd w:val="0"/>
        <w:spacing w:before="120"/>
        <w:ind w:firstLine="284"/>
        <w:jc w:val="both"/>
        <w:rPr>
          <w:rFonts w:eastAsia="SimSun"/>
          <w:szCs w:val="28"/>
        </w:rPr>
      </w:pPr>
      <w:r w:rsidRPr="00787BF1">
        <w:rPr>
          <w:rFonts w:eastAsia="SimSun"/>
          <w:szCs w:val="28"/>
        </w:rPr>
        <w:t xml:space="preserve">Ngày 4.11.2002, tại Hội nghị Cấp cao ASEAN lần thứ 8 ở Phnom Penh (Campuchia), Trung Quốc và 10 nước ASEAN đã ký cam kết DOC. Các cam kết </w:t>
      </w:r>
      <w:r w:rsidRPr="00787BF1">
        <w:rPr>
          <w:rFonts w:eastAsia="SimSun"/>
          <w:szCs w:val="28"/>
        </w:rPr>
        <w:lastRenderedPageBreak/>
        <w:t xml:space="preserve">mà ASEAN và Trung Quốc đã nhất trí trong DOC chia thành hai nhóm gồm: Cam kết về các nguyên tắc ràng buộc hành vi ứng xử của các bên ở Biển Đông và các cam kết về việc cùng tiến hành một số biện pháp xây dựng lòng tin cũng như hoạt động hợp tác trong một số lĩnh vực ít nhạy cảm. Theo đó, các bên khẳng định cam kết đối với mục tiêu và các nguyên tắc của Hiến chương </w:t>
      </w:r>
      <w:r>
        <w:rPr>
          <w:rFonts w:eastAsia="SimSun"/>
          <w:szCs w:val="28"/>
        </w:rPr>
        <w:t>Liên hợp quốc</w:t>
      </w:r>
      <w:r w:rsidRPr="00787BF1">
        <w:rPr>
          <w:rFonts w:eastAsia="SimSun"/>
          <w:szCs w:val="28"/>
        </w:rPr>
        <w:t xml:space="preserve">, UNCLOS 1982, Hiệp ước thân thiện và hợp tác ở Đông Nam Á năm 1976, 5 nguyên tắc cùng tồn tại hòa bình mà Trung Quốc đã ký với vùng Carmia của Ấn Độ năm 1962 và các nguyên tắc phổ cập khác của luật pháp quốc tế. Các bên khẳng định tôn trọng TDHH và tự do bay ở Biển Đông như đã được quy định bởi các nguyên tắc phổ cập của pháp luật quốc tế, trong đó có UNCLOS 1982. Các bên cũng cam kết kiềm chế không tiến hành các hoạt động có thể làm phức tạp thêm hoặc gia tăng tranh chấp và ảnh hưởng đến hòa bình và ổn định của khu vực. ASEAN và Trung Quốc cũng đồng ý căn cứ vào các nguyên tắc Hiến chương LHQ, UNCLOS 1982, Hiệp ước thân thiện và hợp tác ở Đông Nam Á và các nguyên tắc phổ cập khác của luật pháp quốc tế, bình đẳng và tôn trọng lẫn nhau để tìm kiếm các phương cách xây dựng lòng tin. </w:t>
      </w:r>
    </w:p>
    <w:p w:rsidR="00567FAE" w:rsidRPr="00787BF1" w:rsidRDefault="00567FAE" w:rsidP="00567FAE">
      <w:pPr>
        <w:autoSpaceDE w:val="0"/>
        <w:autoSpaceDN w:val="0"/>
        <w:adjustRightInd w:val="0"/>
        <w:spacing w:before="120"/>
        <w:ind w:firstLine="284"/>
        <w:jc w:val="both"/>
        <w:rPr>
          <w:rFonts w:eastAsia="SimSun"/>
          <w:b/>
          <w:bCs/>
          <w:szCs w:val="28"/>
        </w:rPr>
      </w:pPr>
      <w:r w:rsidRPr="00787BF1">
        <w:rPr>
          <w:rFonts w:eastAsia="SimSun"/>
          <w:szCs w:val="28"/>
        </w:rPr>
        <w:t xml:space="preserve">Biển Đông có vị trí chiến lược quan trọng, với nhiều tuyến vận tải biển nối liền Thái Bình Dương và Ấn Độ Dương, châu Á với châu Âu, châu Úc với Trung Đông. Khu vực biển nằm gần quần đảo Hoàng Sa cũng là tuyến đường vận tải dầu quan trọng tới Nhật Bản, Hàn Quốc và Trung Quốc. Sự kiện Trung Quốc xâm phạm trắng trợn chủ quyền Việt Nam khi hạ đặt giàn khoan Hải Dương - 981 trên vùng đặc quyền kinh tế của Việt Nam, điều tàu quân sự tấn công tàu Cảnh sát biển Việt Nam và các tàu cá của Việt Nam; đây là hành động gây hấn nghiêm trọng, đồng thời đã vi phạm vào quyền TDHH, tự do đánh bắt của các tàu cá Việt Nam trên vùng biển thuộc quyền chủ quyền của Việt Nam. Hành động của Trung Quốc không chỉ xâm phạm chủ quyền của Việt Nam mà còn là sự cản trở TDHH quốc tế trên toàn bộ hành lang hàng hải ở Biển Đông. Sự kiện này vi phạm nghiêm trọng nguyên tắc TDHH và an ninh khu vực. </w:t>
      </w:r>
    </w:p>
    <w:p w:rsidR="00567FAE" w:rsidRPr="00787BF1" w:rsidRDefault="00567FAE" w:rsidP="00567FAE">
      <w:pPr>
        <w:autoSpaceDE w:val="0"/>
        <w:autoSpaceDN w:val="0"/>
        <w:adjustRightInd w:val="0"/>
        <w:spacing w:before="120"/>
        <w:ind w:firstLine="284"/>
        <w:jc w:val="right"/>
        <w:rPr>
          <w:rFonts w:eastAsia="SimSun"/>
          <w:b/>
          <w:bCs/>
          <w:caps/>
          <w:sz w:val="22"/>
        </w:rPr>
      </w:pPr>
      <w:r w:rsidRPr="00787BF1">
        <w:rPr>
          <w:rFonts w:eastAsia="SimSun"/>
          <w:b/>
          <w:bCs/>
          <w:caps/>
          <w:sz w:val="22"/>
        </w:rPr>
        <w:t>Đinh NgỌc VưỢng</w:t>
      </w:r>
    </w:p>
    <w:p w:rsidR="00567FAE" w:rsidRPr="00787BF1" w:rsidRDefault="00567FAE" w:rsidP="00567FAE">
      <w:pPr>
        <w:autoSpaceDE w:val="0"/>
        <w:autoSpaceDN w:val="0"/>
        <w:adjustRightInd w:val="0"/>
        <w:spacing w:before="120"/>
        <w:ind w:firstLine="284"/>
        <w:jc w:val="both"/>
        <w:rPr>
          <w:rFonts w:eastAsia="SimSun"/>
          <w:sz w:val="24"/>
          <w:szCs w:val="24"/>
        </w:rPr>
      </w:pPr>
      <w:r w:rsidRPr="00787BF1">
        <w:rPr>
          <w:b/>
          <w:sz w:val="24"/>
          <w:szCs w:val="24"/>
        </w:rPr>
        <w:t>Tài liệu tham khảo:</w:t>
      </w:r>
    </w:p>
    <w:p w:rsidR="00567FAE" w:rsidRPr="00787BF1" w:rsidRDefault="00567FAE" w:rsidP="00567FAE">
      <w:pPr>
        <w:numPr>
          <w:ilvl w:val="1"/>
          <w:numId w:val="1"/>
        </w:numPr>
        <w:tabs>
          <w:tab w:val="left" w:pos="567"/>
        </w:tabs>
        <w:autoSpaceDE w:val="0"/>
        <w:autoSpaceDN w:val="0"/>
        <w:adjustRightInd w:val="0"/>
        <w:spacing w:before="120"/>
        <w:ind w:left="0" w:firstLine="284"/>
        <w:jc w:val="both"/>
        <w:rPr>
          <w:rFonts w:eastAsia="SimSun"/>
          <w:sz w:val="24"/>
          <w:szCs w:val="24"/>
        </w:rPr>
      </w:pPr>
      <w:r w:rsidRPr="00787BF1">
        <w:rPr>
          <w:rFonts w:eastAsia="SimSun"/>
          <w:i/>
          <w:sz w:val="24"/>
          <w:szCs w:val="24"/>
        </w:rPr>
        <w:t xml:space="preserve">Công ước của </w:t>
      </w:r>
      <w:r>
        <w:rPr>
          <w:rFonts w:eastAsia="SimSun"/>
          <w:i/>
          <w:sz w:val="24"/>
          <w:szCs w:val="24"/>
        </w:rPr>
        <w:t>Liên hợp quốc</w:t>
      </w:r>
      <w:r w:rsidRPr="00787BF1">
        <w:rPr>
          <w:rFonts w:eastAsia="SimSun"/>
          <w:i/>
          <w:sz w:val="24"/>
          <w:szCs w:val="24"/>
        </w:rPr>
        <w:t xml:space="preserve"> về Luật biển</w:t>
      </w:r>
      <w:r w:rsidRPr="00787BF1">
        <w:rPr>
          <w:rFonts w:eastAsia="SimSun"/>
          <w:sz w:val="24"/>
          <w:szCs w:val="24"/>
        </w:rPr>
        <w:t xml:space="preserve"> (bản dịch tiếng Việt), http://biengioilanhtho.gov.vn/vie/conguocnam1982cualien-nd-c197abe1.aspx. </w:t>
      </w:r>
    </w:p>
    <w:p w:rsidR="00567FAE" w:rsidRPr="00787BF1" w:rsidRDefault="00567FAE" w:rsidP="00567FAE">
      <w:pPr>
        <w:numPr>
          <w:ilvl w:val="1"/>
          <w:numId w:val="1"/>
        </w:numPr>
        <w:tabs>
          <w:tab w:val="left" w:pos="567"/>
        </w:tabs>
        <w:autoSpaceDE w:val="0"/>
        <w:autoSpaceDN w:val="0"/>
        <w:adjustRightInd w:val="0"/>
        <w:spacing w:before="120"/>
        <w:ind w:left="0" w:firstLine="284"/>
        <w:jc w:val="both"/>
        <w:rPr>
          <w:rFonts w:eastAsia="SimSun"/>
          <w:sz w:val="24"/>
          <w:szCs w:val="24"/>
        </w:rPr>
      </w:pPr>
      <w:r w:rsidRPr="00787BF1">
        <w:rPr>
          <w:rFonts w:eastAsia="SimSun"/>
          <w:sz w:val="24"/>
          <w:szCs w:val="24"/>
        </w:rPr>
        <w:t>Luật biển Việt Nam, 2012.</w:t>
      </w:r>
    </w:p>
    <w:p w:rsidR="00567FAE" w:rsidRPr="00787BF1" w:rsidRDefault="00567FAE" w:rsidP="00567FAE">
      <w:pPr>
        <w:numPr>
          <w:ilvl w:val="1"/>
          <w:numId w:val="1"/>
        </w:numPr>
        <w:tabs>
          <w:tab w:val="left" w:pos="567"/>
        </w:tabs>
        <w:autoSpaceDE w:val="0"/>
        <w:autoSpaceDN w:val="0"/>
        <w:adjustRightInd w:val="0"/>
        <w:spacing w:before="120"/>
        <w:ind w:left="0" w:firstLine="284"/>
        <w:jc w:val="both"/>
        <w:rPr>
          <w:rFonts w:eastAsia="SimSun"/>
          <w:sz w:val="24"/>
          <w:szCs w:val="24"/>
        </w:rPr>
      </w:pPr>
      <w:r w:rsidRPr="00787BF1">
        <w:rPr>
          <w:rFonts w:eastAsia="SimSun"/>
          <w:sz w:val="24"/>
          <w:szCs w:val="24"/>
        </w:rPr>
        <w:t>Trung tâm Thông tin công tác tư tưởng</w:t>
      </w:r>
      <w:r>
        <w:rPr>
          <w:rFonts w:eastAsia="SimSun"/>
          <w:sz w:val="24"/>
          <w:szCs w:val="24"/>
        </w:rPr>
        <w:t xml:space="preserve"> </w:t>
      </w:r>
      <w:r w:rsidRPr="00787BF1">
        <w:rPr>
          <w:rFonts w:eastAsia="SimSun"/>
          <w:sz w:val="24"/>
          <w:szCs w:val="24"/>
        </w:rPr>
        <w:t>-</w:t>
      </w:r>
      <w:r>
        <w:rPr>
          <w:rFonts w:eastAsia="SimSun"/>
          <w:sz w:val="24"/>
          <w:szCs w:val="24"/>
        </w:rPr>
        <w:t xml:space="preserve"> </w:t>
      </w:r>
      <w:r w:rsidRPr="00787BF1">
        <w:rPr>
          <w:rFonts w:eastAsia="SimSun"/>
          <w:sz w:val="24"/>
          <w:szCs w:val="24"/>
        </w:rPr>
        <w:t xml:space="preserve">Cục Chính trị Quân chủng Hải quân, </w:t>
      </w:r>
      <w:r w:rsidRPr="00787BF1">
        <w:rPr>
          <w:rFonts w:eastAsia="SimSun"/>
          <w:i/>
          <w:iCs/>
          <w:sz w:val="24"/>
          <w:szCs w:val="24"/>
        </w:rPr>
        <w:t>Biển và hải đảo Việt Nam,</w:t>
      </w:r>
      <w:r w:rsidRPr="00787BF1">
        <w:rPr>
          <w:rFonts w:eastAsia="SimSun"/>
          <w:sz w:val="24"/>
          <w:szCs w:val="24"/>
        </w:rPr>
        <w:t xml:space="preserve"> Hà Nội, 2007.</w:t>
      </w:r>
    </w:p>
    <w:p w:rsidR="00567FAE" w:rsidRPr="00787BF1" w:rsidRDefault="00567FAE" w:rsidP="00567FAE">
      <w:pPr>
        <w:numPr>
          <w:ilvl w:val="1"/>
          <w:numId w:val="1"/>
        </w:numPr>
        <w:tabs>
          <w:tab w:val="left" w:pos="567"/>
        </w:tabs>
        <w:autoSpaceDE w:val="0"/>
        <w:autoSpaceDN w:val="0"/>
        <w:adjustRightInd w:val="0"/>
        <w:spacing w:before="120"/>
        <w:ind w:left="0" w:firstLine="284"/>
        <w:jc w:val="both"/>
        <w:rPr>
          <w:rFonts w:eastAsia="SimSun"/>
          <w:sz w:val="24"/>
          <w:szCs w:val="24"/>
        </w:rPr>
      </w:pPr>
      <w:r w:rsidRPr="00787BF1">
        <w:rPr>
          <w:rFonts w:eastAsia="SimSun"/>
          <w:sz w:val="24"/>
          <w:szCs w:val="24"/>
        </w:rPr>
        <w:t xml:space="preserve">Johnston, Douglas M.; Saunders, Phillip M., Ocean Boundary Making: </w:t>
      </w:r>
      <w:r w:rsidRPr="00787BF1">
        <w:rPr>
          <w:rFonts w:eastAsia="SimSun"/>
          <w:i/>
          <w:sz w:val="24"/>
          <w:szCs w:val="24"/>
        </w:rPr>
        <w:t>Regional Issues and Developments</w:t>
      </w:r>
      <w:r w:rsidRPr="00787BF1">
        <w:rPr>
          <w:rFonts w:eastAsia="SimSun"/>
          <w:sz w:val="24"/>
          <w:szCs w:val="24"/>
        </w:rPr>
        <w:t>, Taylor &amp; Francis, 1988.</w:t>
      </w:r>
    </w:p>
    <w:p w:rsidR="00567FAE" w:rsidRPr="00787BF1" w:rsidRDefault="00567FAE" w:rsidP="00567FAE">
      <w:pPr>
        <w:numPr>
          <w:ilvl w:val="1"/>
          <w:numId w:val="1"/>
        </w:numPr>
        <w:tabs>
          <w:tab w:val="left" w:pos="567"/>
        </w:tabs>
        <w:autoSpaceDE w:val="0"/>
        <w:autoSpaceDN w:val="0"/>
        <w:adjustRightInd w:val="0"/>
        <w:spacing w:before="120"/>
        <w:ind w:left="0" w:firstLine="284"/>
        <w:jc w:val="both"/>
        <w:rPr>
          <w:rFonts w:eastAsia="SimSun"/>
          <w:sz w:val="24"/>
          <w:szCs w:val="24"/>
        </w:rPr>
      </w:pPr>
      <w:r w:rsidRPr="00787BF1">
        <w:rPr>
          <w:rFonts w:eastAsia="SimSun"/>
          <w:sz w:val="24"/>
          <w:szCs w:val="24"/>
        </w:rPr>
        <w:t xml:space="preserve">Papadakis, N., </w:t>
      </w:r>
      <w:r w:rsidRPr="00787BF1">
        <w:rPr>
          <w:rFonts w:eastAsia="SimSun"/>
          <w:i/>
          <w:sz w:val="24"/>
          <w:szCs w:val="24"/>
        </w:rPr>
        <w:t>The International Legal Regime of Artificial Islands</w:t>
      </w:r>
      <w:r w:rsidRPr="00787BF1">
        <w:rPr>
          <w:rFonts w:eastAsia="SimSun"/>
          <w:sz w:val="24"/>
          <w:szCs w:val="24"/>
        </w:rPr>
        <w:t>, Sijthoff publications on ocean development 2, Springer, 1977.</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845"/>
    <w:multiLevelType w:val="multilevel"/>
    <w:tmpl w:val="F5EC2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AE"/>
    <w:rsid w:val="001324E1"/>
    <w:rsid w:val="005630BE"/>
    <w:rsid w:val="00567FA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BB73A-2741-4D8E-A88E-6356AE8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AE"/>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567FAE"/>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567FAE"/>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2025-12-15T04:57:00Z</dcterms:created>
  <dcterms:modified xsi:type="dcterms:W3CDTF">2025-12-15T04:57:00Z</dcterms:modified>
</cp:coreProperties>
</file>